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p w14:paraId="134DB981" w14:textId="5DAB3B96" w:rsidR="00A07541" w:rsidRPr="004333BF" w:rsidRDefault="00A07541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b/>
          <w:sz w:val="24"/>
          <w:szCs w:val="24"/>
        </w:rPr>
        <w:br/>
      </w:r>
      <w:r w:rsidR="004333BF"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24B2D42" w14:textId="77777777" w:rsidR="004333BF" w:rsidRDefault="004333BF" w:rsidP="004333BF">
      <w:pPr>
        <w:spacing w:after="0"/>
        <w:rPr>
          <w:rFonts w:cstheme="minorHAnsi"/>
          <w:sz w:val="24"/>
          <w:szCs w:val="24"/>
        </w:rPr>
      </w:pPr>
    </w:p>
    <w:p w14:paraId="4B090960" w14:textId="74F57B58" w:rsidR="0010596E" w:rsidRPr="00292E4E" w:rsidRDefault="00292E4E" w:rsidP="00292E4E">
      <w:pPr>
        <w:rPr>
          <w:rFonts w:cstheme="minorHAnsi"/>
          <w:sz w:val="24"/>
          <w:szCs w:val="24"/>
        </w:rPr>
      </w:pPr>
      <w:r w:rsidRPr="00292E4E">
        <w:rPr>
          <w:rFonts w:cstheme="minorHAnsi"/>
          <w:sz w:val="24"/>
          <w:szCs w:val="24"/>
        </w:rPr>
        <w:t xml:space="preserve">Instructions: </w:t>
      </w:r>
      <w:r w:rsidR="004A2ABA">
        <w:rPr>
          <w:rFonts w:cstheme="minorHAnsi"/>
          <w:sz w:val="24"/>
          <w:szCs w:val="24"/>
        </w:rPr>
        <w:t xml:space="preserve">Fill in the relevant sections of your evaluation plan under the headings below (you may delete the italicized </w:t>
      </w:r>
      <w:r w:rsidR="004333BF">
        <w:rPr>
          <w:rFonts w:cstheme="minorHAnsi"/>
          <w:sz w:val="24"/>
          <w:szCs w:val="24"/>
        </w:rPr>
        <w:t>text</w:t>
      </w:r>
      <w:r w:rsidR="004A2ABA">
        <w:rPr>
          <w:rFonts w:cstheme="minorHAnsi"/>
          <w:sz w:val="24"/>
          <w:szCs w:val="24"/>
        </w:rPr>
        <w:t>).</w:t>
      </w:r>
      <w:r w:rsidR="004333BF">
        <w:rPr>
          <w:rFonts w:cstheme="minorHAnsi"/>
          <w:sz w:val="24"/>
          <w:szCs w:val="24"/>
        </w:rPr>
        <w:t xml:space="preserve"> </w:t>
      </w:r>
      <w:r w:rsidR="0010596E">
        <w:rPr>
          <w:rFonts w:cstheme="minorHAnsi"/>
          <w:sz w:val="24"/>
          <w:szCs w:val="24"/>
        </w:rPr>
        <w:t xml:space="preserve">Details about the evaluation requirements for AmeriCorps State and National grantees and subgrantees are </w:t>
      </w:r>
      <w:hyperlink r:id="rId12" w:history="1">
        <w:r w:rsidR="0010596E" w:rsidRPr="0010596E">
          <w:rPr>
            <w:rStyle w:val="Hyperlink"/>
            <w:rFonts w:cstheme="minorHAnsi"/>
            <w:sz w:val="24"/>
            <w:szCs w:val="24"/>
          </w:rPr>
          <w:t>here</w:t>
        </w:r>
      </w:hyperlink>
      <w:r w:rsidR="0010596E">
        <w:rPr>
          <w:rFonts w:cstheme="minorHAnsi"/>
          <w:sz w:val="24"/>
          <w:szCs w:val="24"/>
        </w:rPr>
        <w:t xml:space="preserve">. If you wish to request an </w:t>
      </w:r>
      <w:hyperlink r:id="rId13" w:history="1">
        <w:r w:rsidR="0010596E" w:rsidRPr="0010596E">
          <w:rPr>
            <w:rStyle w:val="Hyperlink"/>
            <w:rFonts w:cstheme="minorHAnsi"/>
            <w:sz w:val="24"/>
            <w:szCs w:val="24"/>
          </w:rPr>
          <w:t>Alternative Evaluation Approach (AEA)</w:t>
        </w:r>
      </w:hyperlink>
      <w:r w:rsidR="0010596E">
        <w:rPr>
          <w:rFonts w:cstheme="minorHAnsi"/>
          <w:sz w:val="24"/>
          <w:szCs w:val="24"/>
        </w:rPr>
        <w:t xml:space="preserve">, an </w:t>
      </w:r>
      <w:hyperlink r:id="rId14" w:history="1">
        <w:r w:rsidR="0010596E" w:rsidRPr="0010596E">
          <w:rPr>
            <w:rStyle w:val="Hyperlink"/>
            <w:rFonts w:cstheme="minorHAnsi"/>
            <w:sz w:val="24"/>
            <w:szCs w:val="24"/>
          </w:rPr>
          <w:t>AEA Request Form</w:t>
        </w:r>
      </w:hyperlink>
      <w:r w:rsidR="0010596E">
        <w:rPr>
          <w:rFonts w:cstheme="minorHAnsi"/>
          <w:sz w:val="24"/>
          <w:szCs w:val="24"/>
        </w:rPr>
        <w:t xml:space="preserve"> must be submitted in addition to this document.</w:t>
      </w:r>
    </w:p>
    <w:p w14:paraId="27D23FE3" w14:textId="3938731C" w:rsidR="00A542AB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7B75F27B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>can be adapted from the Theory of Change section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activity/ies</w:t>
          </w:r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19096033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161136A6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51CD7580" w14:textId="7EC63CA3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(e.g.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lastRenderedPageBreak/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</w:t>
          </w:r>
          <w:r w:rsidR="00843C7B" w:rsidRPr="00DB4DE6">
            <w:rPr>
              <w:i/>
              <w:iCs/>
            </w:rPr>
            <w:lastRenderedPageBreak/>
            <w:t xml:space="preserve">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r>
        <w:t>Analysis Plan</w:t>
      </w:r>
    </w:p>
    <w:sdt>
      <w:sdtPr>
        <w:rPr>
          <w:i/>
          <w:iCs/>
        </w:rPr>
        <w:id w:val="475883514"/>
        <w:placeholder>
          <w:docPart w:val="DefaultPlaceholder_-1854013440"/>
        </w:placeholder>
      </w:sdtPr>
      <w:sdtEndPr/>
      <w:sdtContent>
        <w:p w14:paraId="6BAED777" w14:textId="5C14347F" w:rsidR="009A73C2" w:rsidRPr="00D123B8" w:rsidRDefault="00F05B49" w:rsidP="009A73C2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77777777" w:rsidR="00D123B8" w:rsidRPr="00D123B8" w:rsidRDefault="00EC2667" w:rsidP="001E6349">
          <w:pPr>
            <w:rPr>
              <w:i/>
              <w:iCs/>
            </w:rPr>
          </w:pPr>
          <w:r w:rsidRPr="00D123B8">
            <w:rPr>
              <w:i/>
              <w:iCs/>
            </w:rPr>
            <w:t>For impact evaluations</w:t>
          </w:r>
          <w:r w:rsidR="00D123B8" w:rsidRPr="00D123B8">
            <w:rPr>
              <w:i/>
              <w:iCs/>
            </w:rPr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143C8B49" w14:textId="12016F36" w:rsidR="006333D6" w:rsidRPr="00D123B8" w:rsidRDefault="00D123B8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   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all of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Pr="00C2225D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RPr="00C2225D" w:rsidSect="005E5369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011B" w14:textId="77777777" w:rsidR="0035459D" w:rsidRDefault="0035459D" w:rsidP="00D730AF">
      <w:pPr>
        <w:spacing w:after="0" w:line="240" w:lineRule="auto"/>
      </w:pPr>
      <w:r>
        <w:separator/>
      </w:r>
    </w:p>
  </w:endnote>
  <w:endnote w:type="continuationSeparator" w:id="0">
    <w:p w14:paraId="76D4FEE9" w14:textId="77777777" w:rsidR="0035459D" w:rsidRDefault="0035459D" w:rsidP="00D7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1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E842" w14:textId="77777777" w:rsidR="0035459D" w:rsidRDefault="0035459D" w:rsidP="00D730AF">
      <w:pPr>
        <w:spacing w:after="0" w:line="240" w:lineRule="auto"/>
      </w:pPr>
      <w:r>
        <w:separator/>
      </w:r>
    </w:p>
  </w:footnote>
  <w:footnote w:type="continuationSeparator" w:id="0">
    <w:p w14:paraId="0E89CA20" w14:textId="77777777" w:rsidR="0035459D" w:rsidRDefault="0035459D" w:rsidP="00D7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A30E2"/>
    <w:rsid w:val="001B4DB9"/>
    <w:rsid w:val="001C5001"/>
    <w:rsid w:val="001D798E"/>
    <w:rsid w:val="001E0736"/>
    <w:rsid w:val="001E6349"/>
    <w:rsid w:val="00203269"/>
    <w:rsid w:val="002043AB"/>
    <w:rsid w:val="002150DE"/>
    <w:rsid w:val="002276F8"/>
    <w:rsid w:val="00232CC6"/>
    <w:rsid w:val="00233102"/>
    <w:rsid w:val="00244686"/>
    <w:rsid w:val="0025019A"/>
    <w:rsid w:val="0025641C"/>
    <w:rsid w:val="002649C4"/>
    <w:rsid w:val="00273D9A"/>
    <w:rsid w:val="00286EE9"/>
    <w:rsid w:val="00292E4E"/>
    <w:rsid w:val="002F7A7A"/>
    <w:rsid w:val="00305D6C"/>
    <w:rsid w:val="00311D46"/>
    <w:rsid w:val="00333E4B"/>
    <w:rsid w:val="0035354B"/>
    <w:rsid w:val="0035459D"/>
    <w:rsid w:val="00374072"/>
    <w:rsid w:val="003836E3"/>
    <w:rsid w:val="003930C7"/>
    <w:rsid w:val="003A71B2"/>
    <w:rsid w:val="003B1235"/>
    <w:rsid w:val="00424767"/>
    <w:rsid w:val="004333BF"/>
    <w:rsid w:val="00443E32"/>
    <w:rsid w:val="00444BA1"/>
    <w:rsid w:val="00446290"/>
    <w:rsid w:val="004479AD"/>
    <w:rsid w:val="00465D99"/>
    <w:rsid w:val="004748E3"/>
    <w:rsid w:val="00492507"/>
    <w:rsid w:val="004A159C"/>
    <w:rsid w:val="004A2ABA"/>
    <w:rsid w:val="004A505A"/>
    <w:rsid w:val="004B310C"/>
    <w:rsid w:val="004C0613"/>
    <w:rsid w:val="004C7994"/>
    <w:rsid w:val="004F1102"/>
    <w:rsid w:val="004F2D28"/>
    <w:rsid w:val="0050650C"/>
    <w:rsid w:val="005135F9"/>
    <w:rsid w:val="005137E0"/>
    <w:rsid w:val="00524560"/>
    <w:rsid w:val="005468A4"/>
    <w:rsid w:val="00555527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32635"/>
    <w:rsid w:val="006333D6"/>
    <w:rsid w:val="00644445"/>
    <w:rsid w:val="00646F01"/>
    <w:rsid w:val="00666768"/>
    <w:rsid w:val="00677BAE"/>
    <w:rsid w:val="006817C7"/>
    <w:rsid w:val="00693645"/>
    <w:rsid w:val="006B3754"/>
    <w:rsid w:val="006C67F7"/>
    <w:rsid w:val="006D3B07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A07541"/>
    <w:rsid w:val="00A07879"/>
    <w:rsid w:val="00A249FA"/>
    <w:rsid w:val="00A37A8F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97F1D"/>
    <w:rsid w:val="00AC7615"/>
    <w:rsid w:val="00AD607D"/>
    <w:rsid w:val="00AF1336"/>
    <w:rsid w:val="00B26BFD"/>
    <w:rsid w:val="00B352F6"/>
    <w:rsid w:val="00B502EB"/>
    <w:rsid w:val="00B507EA"/>
    <w:rsid w:val="00B51A77"/>
    <w:rsid w:val="00B57DB3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81D6E"/>
    <w:rsid w:val="00C94512"/>
    <w:rsid w:val="00C94BED"/>
    <w:rsid w:val="00C94E7C"/>
    <w:rsid w:val="00C95978"/>
    <w:rsid w:val="00C967D7"/>
    <w:rsid w:val="00CA0C4E"/>
    <w:rsid w:val="00CC7E03"/>
    <w:rsid w:val="00CD51EC"/>
    <w:rsid w:val="00CD7281"/>
    <w:rsid w:val="00CE03C8"/>
    <w:rsid w:val="00CE307C"/>
    <w:rsid w:val="00CE43C3"/>
    <w:rsid w:val="00CF7C84"/>
    <w:rsid w:val="00D06F92"/>
    <w:rsid w:val="00D123B8"/>
    <w:rsid w:val="00D20B7B"/>
    <w:rsid w:val="00D2611A"/>
    <w:rsid w:val="00D30B78"/>
    <w:rsid w:val="00D31947"/>
    <w:rsid w:val="00D40416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83E73"/>
    <w:rsid w:val="00EA66E0"/>
    <w:rsid w:val="00EB3C8A"/>
    <w:rsid w:val="00EB427C"/>
    <w:rsid w:val="00EB4C5E"/>
    <w:rsid w:val="00EB5368"/>
    <w:rsid w:val="00EC2667"/>
    <w:rsid w:val="00ED6449"/>
    <w:rsid w:val="00EE2B96"/>
    <w:rsid w:val="00F05B49"/>
    <w:rsid w:val="00F275F1"/>
    <w:rsid w:val="00F676C4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mericorps.gov/sites/default/files/document/2021_06_29_Alternative_Evaluation_Approach_Guidance_AS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mericorps.gov/sites/default/files/document/2019_10_01_AmeriCorps_State_and_National_Evaluation_FAQs_AS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ericorps.gov/sites/default/files/document/2021_06_29_AEA_Request_Form_AS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D"/>
    <w:rsid w:val="004327DE"/>
    <w:rsid w:val="0046523D"/>
    <w:rsid w:val="004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50ECACAD0243897B420DC9704481" ma:contentTypeVersion="16" ma:contentTypeDescription="Create a new document." ma:contentTypeScope="" ma:versionID="48687020d51776976d02900cd8ccd248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97c272b6-c192-4bbf-a941-01995bed73b4" targetNamespace="http://schemas.microsoft.com/office/2006/metadata/properties" ma:root="true" ma:fieldsID="97070acc569b88b7959082ed1848f1c7" ns1:_="" ns2:_="" ns3:_="">
    <xsd:import namespace="http://schemas.microsoft.com/sharepoint/v3"/>
    <xsd:import namespace="955b5658-c4af-4367-aaf7-f4b787d2e46e"/>
    <xsd:import namespace="97c272b6-c192-4bbf-a941-01995bed73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ompletionda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72b6-c192-4bbf-a941-01995bed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iondate" ma:index="25" nillable="true" ma:displayName="Completion date" ma:format="DateOnly" ma:internalName="Completiondate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VWMP5RR7HZ5Z-1083359729-381503</_dlc_DocId>
    <Completiondate xmlns="97c272b6-c192-4bbf-a941-01995bed73b4" xsi:nil="true"/>
    <_ip_UnifiedCompliancePolicyUIAction xmlns="http://schemas.microsoft.com/sharepoint/v3" xsi:nil="true"/>
    <_dlc_DocIdUrl xmlns="955b5658-c4af-4367-aaf7-f4b787d2e46e">
      <Url>https://cnsgov.sharepoint.com/sites/ASN/Home/_layouts/15/DocIdRedir.aspx?ID=VWMP5RR7HZ5Z-1083359729-381503</Url>
      <Description>VWMP5RR7HZ5Z-1083359729-381503</Description>
    </_dlc_DocIdUrl>
    <_ip_UnifiedCompliancePolicyProperties xmlns="http://schemas.microsoft.com/sharepoint/v3" xsi:nil="true"/>
    <SharedWithUsers xmlns="955b5658-c4af-4367-aaf7-f4b787d2e46e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9509-EEB3-4247-88A1-5B7C558D7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97c272b6-c192-4bbf-a941-01995bed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B640-6A73-4029-B3D6-6DA4281033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D11E5-0786-45E6-8EF3-98600156C457}">
  <ds:schemaRefs>
    <ds:schemaRef ds:uri="http://schemas.microsoft.com/sharepoint/v3"/>
    <ds:schemaRef ds:uri="http://purl.org/dc/dcmitype/"/>
    <ds:schemaRef ds:uri="http://schemas.openxmlformats.org/package/2006/metadata/core-properties"/>
    <ds:schemaRef ds:uri="97c272b6-c192-4bbf-a941-01995bed73b4"/>
    <ds:schemaRef ds:uri="http://purl.org/dc/elements/1.1/"/>
    <ds:schemaRef ds:uri="http://schemas.microsoft.com/office/2006/metadata/properties"/>
    <ds:schemaRef ds:uri="955b5658-c4af-4367-aaf7-f4b787d2e46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336CF8C-B723-4AC8-BB8F-597E9BD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Tockey</dc:creator>
  <cp:keywords/>
  <dc:description/>
  <cp:lastModifiedBy>Stacey Scherschligt</cp:lastModifiedBy>
  <cp:revision>2</cp:revision>
  <dcterms:created xsi:type="dcterms:W3CDTF">2022-08-22T21:42:00Z</dcterms:created>
  <dcterms:modified xsi:type="dcterms:W3CDTF">2022-08-22T21:42:00Z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0x010100E81B50ECACAD0243897B420DC9704481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697516f2-91b1-4b45-8d63-aef86599bfc7</vt:lpwstr>
  </property>
  <property fmtid="{D5CDD505-2E9C-101B-9397-08002B2CF9AE}" pid="7" name="b209bbd5935845f3b7f3cbfb9d539802">
    <vt:lpwstr/>
  </property>
  <property fmtid="{D5CDD505-2E9C-101B-9397-08002B2CF9AE}" pid="8" name="CNCS_Data_Classification">
    <vt:lpwstr/>
  </property>
  <property fmtid="{D5CDD505-2E9C-101B-9397-08002B2CF9AE}" pid="9" name="CNCS_Department">
    <vt:lpwstr/>
  </property>
  <property fmtid="{D5CDD505-2E9C-101B-9397-08002B2CF9AE}" pid="10" name="i8e69c9481a041089769efb26b17796a">
    <vt:lpwstr/>
  </property>
  <property fmtid="{D5CDD505-2E9C-101B-9397-08002B2CF9AE}" pid="11" name="Sensitivity_Level">
    <vt:lpwstr/>
  </property>
  <property fmtid="{D5CDD505-2E9C-101B-9397-08002B2CF9AE}" pid="12" name="n0b82672b9064af4963ed3248f0c7c79">
    <vt:lpwstr/>
  </property>
</Properties>
</file>